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«Централизованная бухгалтерия»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«Централизованная бухгалтерия»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>
        <w:rPr>
          <w:color w:val="444444"/>
        </w:rPr>
        <w:t xml:space="preserve">21 мая </w:t>
      </w:r>
      <w:r w:rsidRPr="008603D7">
        <w:rPr>
          <w:color w:val="444444"/>
        </w:rPr>
        <w:t xml:space="preserve">2018 года № </w:t>
      </w:r>
      <w:r>
        <w:rPr>
          <w:color w:val="444444"/>
        </w:rPr>
        <w:t>2</w:t>
      </w:r>
      <w:r w:rsidRPr="008603D7">
        <w:rPr>
          <w:color w:val="444444"/>
        </w:rPr>
        <w:t xml:space="preserve"> «Об учетной политике» (далее – Учетная политика). Учетная политика определяет принципы, методы, процедуры и правила ведения бюджетного учета </w:t>
      </w:r>
      <w:r>
        <w:rPr>
          <w:color w:val="444444"/>
        </w:rPr>
        <w:t xml:space="preserve">муниципального казенного учреждения Курского муниципального района Ставропольского края «Централизованная бухгалтерия»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>
        <w:rPr>
          <w:color w:val="444444"/>
        </w:rPr>
        <w:t xml:space="preserve">бухгалтерией. 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Акт </w:t>
      </w:r>
      <w:r>
        <w:rPr>
          <w:color w:val="444444"/>
        </w:rPr>
        <w:t>установки запасных частей и расходных материалов</w:t>
      </w:r>
      <w:r w:rsidRPr="008603D7">
        <w:rPr>
          <w:color w:val="444444"/>
        </w:rPr>
        <w:t>;</w:t>
      </w:r>
    </w:p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8603D7" w:rsidRPr="008603D7" w:rsidRDefault="005272A1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</w:t>
      </w:r>
      <w:r w:rsidR="008603D7" w:rsidRPr="008603D7">
        <w:rPr>
          <w:color w:val="444444"/>
        </w:rPr>
        <w:t>.</w:t>
      </w:r>
    </w:p>
    <w:p w:rsidR="005272A1" w:rsidRDefault="005272A1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42773C">
        <w:rPr>
          <w:color w:val="444444"/>
        </w:rPr>
        <w:t>В целях контроля за расходованием средств, выделенных на командировочные расходы, утвержден</w:t>
      </w:r>
      <w:r w:rsidR="0042773C">
        <w:rPr>
          <w:color w:val="444444"/>
        </w:rPr>
        <w:t>о</w:t>
      </w:r>
      <w:r w:rsidRPr="0042773C">
        <w:rPr>
          <w:color w:val="444444"/>
        </w:rPr>
        <w:t xml:space="preserve"> </w:t>
      </w:r>
      <w:r w:rsidR="0042773C">
        <w:rPr>
          <w:color w:val="444444"/>
        </w:rPr>
        <w:t>Положение о служебных командировках работников учреждения</w:t>
      </w:r>
      <w:r w:rsidRPr="0042773C">
        <w:rPr>
          <w:color w:val="444444"/>
        </w:rPr>
        <w:t>.</w:t>
      </w:r>
    </w:p>
    <w:p w:rsidR="008603D7" w:rsidRPr="008603D7" w:rsidRDefault="00C32C22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предстоящей оплаты отпусков за фактически отработанное время, включая страховые взносы</w:t>
      </w:r>
      <w:bookmarkStart w:id="0" w:name="_GoBack"/>
      <w:bookmarkEnd w:id="0"/>
      <w:r w:rsidRPr="008603D7">
        <w:rPr>
          <w:color w:val="444444"/>
        </w:rPr>
        <w:t>;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B2BB3"/>
    <w:rsid w:val="001A0F32"/>
    <w:rsid w:val="0042773C"/>
    <w:rsid w:val="005272A1"/>
    <w:rsid w:val="005954E6"/>
    <w:rsid w:val="008603D7"/>
    <w:rsid w:val="00B7708F"/>
    <w:rsid w:val="00C32C22"/>
    <w:rsid w:val="00E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C98F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4</cp:revision>
  <dcterms:created xsi:type="dcterms:W3CDTF">2019-06-26T05:49:00Z</dcterms:created>
  <dcterms:modified xsi:type="dcterms:W3CDTF">2019-06-26T06:29:00Z</dcterms:modified>
</cp:coreProperties>
</file>