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женщин (далее - Совет женщин) Курского муниципального округа Ставропольского края сообщает.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Под руководством члена совета женщин, начальника МКУ «Управление культуры» Жулиной Галины Васильевны прошел 27 июля – День памяти детей – жертв войны в Донбассе. 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Сотрудники районной детской библиотеки провели уличную акцию «Несбывшиеся мечты». Библиотекари вручили участникам акции буклет с информацией о трагических событиях в Донбассе с 2014 года и предложили зажечь виртуальную свечу на Аллее Ангелов по ссылке: </w:t>
      </w:r>
      <w:hyperlink r:id="rId2" w:tgtFrame="_blank">
        <w:r>
          <w:rPr>
            <w:b w:val="false"/>
            <w:bCs w:val="false"/>
            <w:sz w:val="28"/>
            <w:szCs w:val="28"/>
          </w:rPr>
          <w:t>https://alleyaangelov.ru/</w:t>
        </w:r>
      </w:hyperlink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члена совета женщин, директора МБУ «ЦДОД» Волковой Татьяны Валерьевны прошел День памяти-жертв войны в Донбассе.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июля воспитатели и обучающиеся летнего оздоровительного лагеря дневного пребывания «Теремок» муниципального бюджетного учреждения дополнительного образования «Центр дополнительного образования для детей» присоединились к акции, посвященной памяти детей, погибших во время вооруженного конфликта.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ходе реализации акции с ребятами педагоги провели беседу о трагедии, показали видеоролик, на кружках сделали голубей из белой бумаги и нарисовали ромашки, символы акции. Также участники акции возложили цветы к мемориалу, тем самым почтили память безвременно ушедших ангелов Донбасса. 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leyaangel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LibreOffice/7.0.3.1$Linux_X86_64 LibreOffice_project/d7547858d014d4cf69878db179d326fc3483e082</Application>
  <Pages>1</Pages>
  <Words>158</Words>
  <Characters>1094</Characters>
  <CharactersWithSpaces>1251</CharactersWithSpaces>
  <Paragraphs>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2023-08-04T13:59:50Z</cp:lastPrinted>
  <dcterms:modified xsi:type="dcterms:W3CDTF">2023-08-04T14:00:03Z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