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Совет женщин Курского муниципального округа Ставропольского края сообщает.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станице Курской 22 июня в 04.00 часов по Московскому времени в День памяти и скорби почтили погибших в Великой Отечественной войне.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Вечному огню на центральном мемориале возложили цветы и венки, почтили память павших Героев минутой молчания, зажгли «Свечу Памяти».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день напоминает нам о всех погибших в боях, замученных в фашистской неволе, умерших от голода и лишений. Мы скорбим по всем, кто ценой своей жизни выполнил святой долг, защищая в те суровые годы Отечество. В наших сердцах жива благодарность тем, кто отстоял честь, свободу и независимость нашей Родины.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zh-CN"/>
        </w:rPr>
        <w:t>В День памяти и скорби в 12:15 по московскому времени на всей территории Российской Федерации прошла Всероссийская акция «Минута молчания». По всей стране на одну минуту жизнь замерла. Люди склонили головы и вспомнили родных и близких, переживших самую кровопролитную войну.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zh-CN"/>
        </w:rPr>
        <w:t>Коллектив администрации присоединился к Акции и вспомнил одну из самых трагичных страниц истории нашей Родины. Наш долг – пронести сквозь года, передавая от поколения к поколению, историю о тех страшных событиях, чтобы никто и никогда не смог забыть уроки истории и ту роль, которую сыграла наша страна в Победе над фашизмом!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совета женщин приняли участие. Общее количество участников 100 человек.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LibreOffice_project/d7547858d014d4cf69878db179d326fc3483e082</Application>
  <Pages>1</Pages>
  <Words>199</Words>
  <Characters>1135</Characters>
  <CharactersWithSpaces>1330</CharactersWithSpaces>
  <Paragraphs>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2023-06-23T14:43:46Z</cp:lastPrinted>
  <dcterms:modified xsi:type="dcterms:W3CDTF">2023-06-23T14:43:48Z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